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6405A5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30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 w:rsidR="002D27D2">
        <w:rPr>
          <w:bCs/>
          <w:color w:val="auto"/>
          <w:sz w:val="28"/>
          <w:szCs w:val="28"/>
        </w:rPr>
        <w:t>2</w:t>
      </w:r>
      <w:r w:rsidR="00C877CC" w:rsidRPr="004D011F">
        <w:rPr>
          <w:bCs/>
          <w:sz w:val="28"/>
          <w:szCs w:val="28"/>
        </w:rPr>
        <w:t xml:space="preserve">  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       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 w:rsidR="002D27D2">
        <w:rPr>
          <w:bCs/>
          <w:color w:val="auto"/>
          <w:sz w:val="28"/>
          <w:szCs w:val="28"/>
        </w:rPr>
        <w:t>91</w:t>
      </w:r>
    </w:p>
    <w:p w:rsidR="00C877CC" w:rsidRPr="004813F2" w:rsidRDefault="00C91106" w:rsidP="00C9110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6405A5" w:rsidRPr="00196888" w:rsidRDefault="006405A5" w:rsidP="0064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Об утверждении перечня и кодов главных администраторов доходов и источников финансирования дефицита бюджета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Яркульского сельсовета  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Купинского района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Новосибирской области на 202</w:t>
      </w:r>
      <w:r w:rsidR="002D27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год и плановый период 202</w:t>
      </w:r>
      <w:r w:rsidR="002D27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4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и 202</w:t>
      </w:r>
      <w:r w:rsidR="002D27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5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годов</w:t>
      </w:r>
    </w:p>
    <w:p w:rsidR="00C877CC" w:rsidRPr="00C877CC" w:rsidRDefault="00C877CC" w:rsidP="00C87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05A5" w:rsidRDefault="006405A5" w:rsidP="00640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соответствии с пунктом 3.2 статьи 160.1 и пунктом 3 статьи 160.2 Бюджетного кодекса Российской  Федерации  (Федеральный закон от 01.07.2021 №251-ФЗ), постановлением Правительства  РФ от 16.09.2021 года № 1569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>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 бюджета и к утверждению перечня главных  администраторов доходов бюджета субъекта Российской Федерации, бюджета территориального фонда обязате</w:t>
      </w:r>
      <w:r w:rsidR="002D27D2">
        <w:rPr>
          <w:rFonts w:ascii="Times New Roman" w:eastAsia="Times New Roman" w:hAnsi="Times New Roman" w:cs="Times New Roman"/>
          <w:sz w:val="28"/>
          <w:szCs w:val="28"/>
        </w:rPr>
        <w:t>льного медицинского страхования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>, местного бюджета», постановлением Правительства  РФ от 16.09.2021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 бюджета и к утверждению перечня главных 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rPr>
          <w:rFonts w:ascii="Times New Roman" w:eastAsia="Times New Roman" w:hAnsi="Times New Roman" w:cs="Times New Roman"/>
          <w:sz w:val="28"/>
          <w:szCs w:val="28"/>
        </w:rPr>
        <w:t>, администрация Яркульского сельсовета Купинского района Новосибирской области</w:t>
      </w:r>
    </w:p>
    <w:p w:rsidR="006405A5" w:rsidRPr="006405A5" w:rsidRDefault="006405A5" w:rsidP="006405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405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ПОСТАНОВЛЯЕТ:</w:t>
      </w:r>
    </w:p>
    <w:p w:rsidR="006405A5" w:rsidRPr="00196888" w:rsidRDefault="006405A5" w:rsidP="00640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405A5" w:rsidRPr="00196888" w:rsidRDefault="006405A5" w:rsidP="00640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перечень и коды главных администраторов доходов бюджета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Яркульского сельсовета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Купинского района Новосибирской области на 202</w:t>
      </w:r>
      <w:r w:rsidR="002D27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 и плановый период 202</w:t>
      </w:r>
      <w:r w:rsidR="002D27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202</w:t>
      </w:r>
      <w:r w:rsidR="002D27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годов, согласно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риложения 1.</w:t>
      </w:r>
    </w:p>
    <w:p w:rsidR="006405A5" w:rsidRPr="00196888" w:rsidRDefault="006405A5" w:rsidP="00640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 xml:space="preserve"> Утвердить перечень и коды главных администраторов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источников финансирования дефицита бюджета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Яркульского сельсовета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Купинского района Новосибирской области на 202</w:t>
      </w:r>
      <w:r w:rsidR="002D27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 и плановый период 202</w:t>
      </w:r>
      <w:r w:rsidR="002D27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202</w:t>
      </w:r>
      <w:r w:rsidR="002D27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годов, согласно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риложения 2.</w:t>
      </w:r>
    </w:p>
    <w:p w:rsidR="006405A5" w:rsidRPr="00196888" w:rsidRDefault="006405A5" w:rsidP="00640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sz w:val="28"/>
          <w:szCs w:val="28"/>
        </w:rPr>
        <w:lastRenderedPageBreak/>
        <w:t>3. Настоящее постановление вступает в силу с 01.01.202</w:t>
      </w:r>
      <w:r w:rsidR="002D27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7CC" w:rsidRDefault="006405A5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C877CC">
        <w:rPr>
          <w:rFonts w:ascii="Times New Roman" w:hAnsi="Times New Roman" w:cs="Times New Roman"/>
          <w:sz w:val="28"/>
          <w:szCs w:val="28"/>
        </w:rPr>
        <w:t xml:space="preserve">. 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="00C877CC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C877CC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C877CC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6405A5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C877CC">
        <w:rPr>
          <w:rFonts w:ascii="Times New Roman" w:hAnsi="Times New Roman" w:cs="Times New Roman"/>
          <w:sz w:val="28"/>
          <w:szCs w:val="28"/>
        </w:rPr>
        <w:t xml:space="preserve">. </w:t>
      </w:r>
      <w:r w:rsidR="00C877CC"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                           </w:t>
      </w:r>
      <w:r w:rsidR="003C58ED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6405A5" w:rsidRDefault="006405A5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6405A5" w:rsidRDefault="006405A5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tbl>
      <w:tblPr>
        <w:tblW w:w="10349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31"/>
        <w:gridCol w:w="562"/>
        <w:gridCol w:w="2268"/>
        <w:gridCol w:w="4959"/>
        <w:gridCol w:w="1987"/>
        <w:gridCol w:w="142"/>
      </w:tblGrid>
      <w:tr w:rsidR="00C164AC" w:rsidRPr="00C164AC" w:rsidTr="00F45C63">
        <w:trPr>
          <w:gridAfter w:val="1"/>
          <w:wAfter w:w="142" w:type="dxa"/>
          <w:trHeight w:val="334"/>
        </w:trPr>
        <w:tc>
          <w:tcPr>
            <w:tcW w:w="993" w:type="dxa"/>
            <w:gridSpan w:val="2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hideMark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1  </w:t>
            </w:r>
          </w:p>
        </w:tc>
      </w:tr>
      <w:tr w:rsidR="00C164AC" w:rsidRPr="00C164AC" w:rsidTr="00F45C63">
        <w:trPr>
          <w:gridAfter w:val="1"/>
          <w:wAfter w:w="142" w:type="dxa"/>
          <w:trHeight w:val="247"/>
        </w:trPr>
        <w:tc>
          <w:tcPr>
            <w:tcW w:w="993" w:type="dxa"/>
            <w:gridSpan w:val="2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hideMark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</w:t>
            </w:r>
          </w:p>
          <w:p w:rsidR="00C164AC" w:rsidRPr="00C164AC" w:rsidRDefault="00C164AC" w:rsidP="002D2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30.12.202</w:t>
            </w:r>
            <w:r w:rsidR="002D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C164AC" w:rsidRPr="00C164AC" w:rsidTr="00F45C63">
        <w:trPr>
          <w:gridAfter w:val="1"/>
          <w:wAfter w:w="142" w:type="dxa"/>
          <w:trHeight w:val="247"/>
        </w:trPr>
        <w:tc>
          <w:tcPr>
            <w:tcW w:w="993" w:type="dxa"/>
            <w:gridSpan w:val="2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C164AC" w:rsidRPr="00C164AC" w:rsidRDefault="00C164AC" w:rsidP="00C1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64AC" w:rsidRPr="00C164AC" w:rsidTr="00F45C63">
        <w:trPr>
          <w:gridAfter w:val="1"/>
          <w:wAfter w:w="142" w:type="dxa"/>
          <w:trHeight w:val="362"/>
        </w:trPr>
        <w:tc>
          <w:tcPr>
            <w:tcW w:w="993" w:type="dxa"/>
            <w:gridSpan w:val="2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hideMark/>
          </w:tcPr>
          <w:p w:rsidR="00C164AC" w:rsidRPr="00C164AC" w:rsidRDefault="00C164AC" w:rsidP="00C1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C164AC" w:rsidRPr="00C164AC" w:rsidTr="00F45C63">
        <w:trPr>
          <w:gridAfter w:val="1"/>
          <w:wAfter w:w="142" w:type="dxa"/>
          <w:trHeight w:val="494"/>
        </w:trPr>
        <w:tc>
          <w:tcPr>
            <w:tcW w:w="993" w:type="dxa"/>
            <w:gridSpan w:val="2"/>
          </w:tcPr>
          <w:p w:rsidR="00C164AC" w:rsidRPr="00C164AC" w:rsidRDefault="00C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C164AC" w:rsidRPr="00C164AC" w:rsidRDefault="00C164AC" w:rsidP="00C1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главных администраторов доходов бюджета Яркульского сельсовета Купинского района Новосибирской области на 202</w:t>
            </w:r>
            <w:r w:rsidR="002D27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1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  <w:p w:rsidR="00C164AC" w:rsidRPr="00C164AC" w:rsidRDefault="00C164AC" w:rsidP="00C1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плановый период 202</w:t>
            </w:r>
            <w:r w:rsidR="002D27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C1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202</w:t>
            </w:r>
            <w:r w:rsidR="002D27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1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годов.</w:t>
            </w:r>
          </w:p>
          <w:p w:rsidR="00C164AC" w:rsidRPr="00C164AC" w:rsidRDefault="00C164AC" w:rsidP="00C1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9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3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08 04020 01 1000 110 -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3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3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11 05025 10 0000 120-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3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11 05035 10 0000 120-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3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3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13 02065 10 0000 130-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43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13 02995 10 0000 130 - Прочие доходы от компенсации затрат бюджетов сельских поселений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99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99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14 02053 10 0000 410 -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99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14 02053 10 0000 440 -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99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465 1 14 06025 10 0000 430 - Доходы от продажи земельных участков, находящихся в собственности сельских поселений (за исключением </w:t>
            </w: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77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части штрафов, санкций, возмещения ущерба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99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295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части прочих неналоговых доходов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99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1 17 01050 10 0000 180 - Невыясненные поступления, зачисляемые в бюджеты сельских поселений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99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465 117 15030 10 0000 150 - Инициативные платежи, зачисляемые в бюджеты сельских поселений</w:t>
            </w: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21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21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части возврата остатков субсидий и субвенций прошлых лет</w:t>
            </w: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21"/>
        </w:trPr>
        <w:tc>
          <w:tcPr>
            <w:tcW w:w="7789" w:type="dxa"/>
            <w:gridSpan w:val="3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431" w:type="dxa"/>
          <w:trHeight w:val="321"/>
        </w:trPr>
        <w:tc>
          <w:tcPr>
            <w:tcW w:w="9918" w:type="dxa"/>
            <w:gridSpan w:val="5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 части безвозмездных поступлений от других бюджетов бюджетной системы 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496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15001 10 0000 150 -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480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20077 10 0000 150 - 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1128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20216 10 0000 150 - 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47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25576 10 0000 150 -Субсидии бюджетам сельских поселений на обеспечение комплексного развития сельских территорий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29999 10 0000 150 - Прочие субсидии бюджетам сельских поселений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35118 10 0000 150 -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39999 10 0000 150 - Прочие субвенции бюджетам сельских поселений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30024 10 0000 150 -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40014 10 0000 150 -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465 2 02 45160 10 0000 150 -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</w:t>
            </w: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другого уровня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465 2 02 49999 10 0000 150 - Прочие межбюджетные трансферты, передаваемые бюджетам сельских поселений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02 90054 10 0000 150 - 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07 05030 10 0000 150 - Прочие безвозмездные поступления в бюджеты сельских поселений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08 05000 10 0000 150 - 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18 60010 10 0000 150 - 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5C63" w:rsidRPr="00893F17" w:rsidTr="00F45C63">
        <w:tblPrEx>
          <w:tblCellMar>
            <w:left w:w="108" w:type="dxa"/>
            <w:right w:w="108" w:type="dxa"/>
          </w:tblCellMar>
        </w:tblPrEx>
        <w:trPr>
          <w:gridBefore w:val="1"/>
          <w:wBefore w:w="431" w:type="dxa"/>
          <w:trHeight w:val="224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 2 19 60010 10 0000 150 -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F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45C63" w:rsidRPr="00893F17" w:rsidRDefault="00F45C63" w:rsidP="00B568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45C63" w:rsidRPr="00893F17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45C63" w:rsidRPr="00893F17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45C63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5C63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5C63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5C63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5C63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5C63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5C63" w:rsidRDefault="00F45C63" w:rsidP="00F45C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164AC" w:rsidRPr="00C164AC" w:rsidRDefault="00C164AC" w:rsidP="00C164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4AC" w:rsidRPr="00C164AC" w:rsidRDefault="00C164AC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405A5" w:rsidRPr="00C164AC" w:rsidRDefault="006405A5" w:rsidP="00C877CC">
      <w:pPr>
        <w:spacing w:after="0" w:line="256" w:lineRule="auto"/>
        <w:ind w:left="10" w:right="51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tbl>
      <w:tblPr>
        <w:tblW w:w="9639" w:type="dxa"/>
        <w:tblInd w:w="108" w:type="dxa"/>
        <w:tblLook w:val="04A0"/>
      </w:tblPr>
      <w:tblGrid>
        <w:gridCol w:w="2040"/>
        <w:gridCol w:w="2980"/>
        <w:gridCol w:w="4619"/>
      </w:tblGrid>
      <w:tr w:rsidR="00C164AC" w:rsidRPr="00C164AC" w:rsidTr="00C164AC">
        <w:trPr>
          <w:trHeight w:val="46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 к</w:t>
            </w:r>
          </w:p>
        </w:tc>
      </w:tr>
      <w:tr w:rsidR="00C164AC" w:rsidRPr="00C164AC" w:rsidTr="00C164AC">
        <w:trPr>
          <w:trHeight w:val="37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  </w:t>
            </w:r>
          </w:p>
        </w:tc>
      </w:tr>
      <w:tr w:rsidR="00C164AC" w:rsidRPr="00C164AC" w:rsidTr="00C164AC">
        <w:trPr>
          <w:trHeight w:val="43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F45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от 30.12.202</w:t>
            </w:r>
            <w:r w:rsidR="00F45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 w:rsidR="00F45C6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C164AC" w:rsidRPr="00C164AC" w:rsidTr="00C164AC">
        <w:trPr>
          <w:trHeight w:val="540"/>
        </w:trPr>
        <w:tc>
          <w:tcPr>
            <w:tcW w:w="96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4AC" w:rsidRPr="00C164AC" w:rsidRDefault="00C164AC" w:rsidP="00F4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главных администраторов источников финансирования дефицита бюджета Яркульского сельсовета Купинского района Новосибирской области на 202</w:t>
            </w:r>
            <w:r w:rsidR="00F45C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F45C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F45C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C164AC" w:rsidRPr="00C164AC" w:rsidTr="00C164AC">
        <w:trPr>
          <w:trHeight w:val="1065"/>
        </w:trPr>
        <w:tc>
          <w:tcPr>
            <w:tcW w:w="96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4AC" w:rsidRPr="00C164AC" w:rsidTr="00C164AC">
        <w:trPr>
          <w:trHeight w:val="54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64AC" w:rsidRPr="00C164AC" w:rsidTr="00C164AC">
        <w:trPr>
          <w:trHeight w:val="78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C164AC" w:rsidRPr="00C164AC" w:rsidTr="00C164AC">
        <w:trPr>
          <w:trHeight w:val="276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главного администратора источников финансирования дефицита бюджета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4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4AC" w:rsidRPr="00C164AC" w:rsidTr="00C164AC">
        <w:trPr>
          <w:trHeight w:val="1320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4AC" w:rsidRPr="00C164AC" w:rsidTr="00C164AC">
        <w:trPr>
          <w:trHeight w:val="9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</w:tr>
      <w:tr w:rsidR="00C164AC" w:rsidRPr="00C164AC" w:rsidTr="00C164AC">
        <w:trPr>
          <w:trHeight w:val="94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C164AC" w:rsidRPr="00C164AC" w:rsidTr="00C164AC">
        <w:trPr>
          <w:trHeight w:val="10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C164AC" w:rsidRPr="00C164AC" w:rsidTr="00C164A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бюджетов от других бюджетов бюджетной системы Российской Федерации бюджетам поселений в валюте Российской Федерации</w:t>
            </w:r>
          </w:p>
        </w:tc>
      </w:tr>
      <w:tr w:rsidR="00C164AC" w:rsidRPr="00C164AC" w:rsidTr="00C164AC">
        <w:trPr>
          <w:trHeight w:val="14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образований в валюте Российской Федерации</w:t>
            </w:r>
          </w:p>
        </w:tc>
      </w:tr>
      <w:tr w:rsidR="00C164AC" w:rsidRPr="00C164AC" w:rsidTr="00C164AC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прочих остатков средств бюджетов</w:t>
            </w:r>
          </w:p>
        </w:tc>
      </w:tr>
      <w:tr w:rsidR="00C164AC" w:rsidRPr="00C164AC" w:rsidTr="00C164AC">
        <w:trPr>
          <w:trHeight w:val="79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C164AC" w:rsidRPr="00C164AC" w:rsidTr="00C164AC">
        <w:trPr>
          <w:trHeight w:val="7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AC" w:rsidRPr="00C164AC" w:rsidRDefault="00C164AC" w:rsidP="00C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AC" w:rsidRPr="00C164AC" w:rsidRDefault="00C164AC" w:rsidP="00C1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4A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164AC" w:rsidRPr="00C877C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sectPr w:rsidR="00C164A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10E38"/>
    <w:rsid w:val="002D27D2"/>
    <w:rsid w:val="003C58ED"/>
    <w:rsid w:val="00507A81"/>
    <w:rsid w:val="006405A5"/>
    <w:rsid w:val="006D587E"/>
    <w:rsid w:val="007774F2"/>
    <w:rsid w:val="00787AF1"/>
    <w:rsid w:val="00B16AAF"/>
    <w:rsid w:val="00B16CC4"/>
    <w:rsid w:val="00BF723D"/>
    <w:rsid w:val="00C164AC"/>
    <w:rsid w:val="00C877CC"/>
    <w:rsid w:val="00C91106"/>
    <w:rsid w:val="00E12863"/>
    <w:rsid w:val="00E553EF"/>
    <w:rsid w:val="00EE0B52"/>
    <w:rsid w:val="00F4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2023-01-17T02:30:00Z</cp:lastPrinted>
  <dcterms:created xsi:type="dcterms:W3CDTF">2020-01-29T04:56:00Z</dcterms:created>
  <dcterms:modified xsi:type="dcterms:W3CDTF">2023-01-17T02:34:00Z</dcterms:modified>
</cp:coreProperties>
</file>